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Tranås kommunfullmäktige</w:t>
      </w:r>
    </w:p>
    <w:p>
      <w:pPr>
        <w:pStyle w:val="Heading1"/>
      </w:pPr>
      <w:r>
        <w:t xml:space="preserve">Stöd till lokala kultur- och fritidsaktiviteter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Vänsterpartiet i Tranås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Kultur- och fritidsnämndens budget har minskat realt sedan 2022. Föreningar rapporterar svårigheter att bedriva verksamhet för barn och unga. Biblioteket i Tranås har begränsade öppettider på kvällar.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Vänsterpartiet i Tranås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höjer anslaget till kultur- och fritidsverksamhet med 2 mnkr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ger kultur- och fritidsnämnden i uppdrag att införa fria aktiviteter för barn upp till 15 år.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beslutar om utökade öppettider på Tranås bibliotek minst två kvällar per vecka.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prioriterar stöd till idrottsföreningar i socioekonomiskt utsatta områden.</w:t>
      </w:r>
    </w:p>
    <w:p>
      <w:pPr>
        <w:spacing w:before="360"/>
      </w:pPr>
    </w:p>
    <w:p>
      <w:r>
        <w:t xml:space="preserve">Tranås,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Vänsterpartiet i Tranås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2026-07-14T01:41:22.910Z</dcterms:created>
  <dcterms:modified xsi:type="dcterms:W3CDTF">2026-07-14T01:41:22.910Z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