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Ragunda kommunfullmäktige</w:t>
      </w:r>
    </w:p>
    <w:p>
      <w:pPr>
        <w:pStyle w:val="Heading1"/>
      </w:pPr>
      <w:r>
        <w:t xml:space="preserve">Öppen granskning av kommunala bolag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Vänsterpartiet i Ragunda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Ragundahem och andra kommunala bolag hanterar stora värden. Transparens kring upphandlingar och styrelsearvoden är låg enligt revisionsrapport 2025. Ökad öppenhet stärker demokratin.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Vänsterpartiet i Ragunda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Ragunda kommunfullmäktige beslutar att alla styrelseprotokoll från kommunala bolag ska publiceras på kommunens webbplats.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Ragunda kommunfullmäktige beslutar att införa årlig öppen redovisning av upphandlingar över 500 000 kronor.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Ragunda kommunfullmäktige beslutar att begränsa arvoden till kommunala bolagsstyrelser.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Ragunda kommunfullmäktige beslutar att bjuda in oppositionen till bolagsstämmor.</w:t>
      </w:r>
    </w:p>
    <w:p>
      <w:pPr>
        <w:spacing w:before="360"/>
      </w:pPr>
    </w:p>
    <w:p>
      <w:r>
        <w:t xml:space="preserve">Ragunda,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Vänsterpartiet i Ragunda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2026-07-14T01:13:11.896Z</dcterms:created>
  <dcterms:modified xsi:type="dcterms:W3CDTF">2026-07-14T01:13:11.896Z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