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Ragunda kommunfullmäktige</w:t>
      </w:r>
    </w:p>
    <w:p>
      <w:pPr>
        <w:pStyle w:val="Heading1"/>
      </w:pPr>
      <w:r>
        <w:t xml:space="preserve">Fossilfri kollektivtrafik och grön turism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Ragunda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Ragunda har stora möjligheter inom hållbar turism kring Döda fallet. Enligt kommunens klimatstrategi 2023 är kollektivtrafiken fortfarande fossilberoende. Gröna jobb kan skapas genom elbussar och cykelturism.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Ragunda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Ragunda kommunfullmäktige beslutar att verka för att all kommunal kollektivtrafik ska vara fossilfri senast 2030.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Ragunda kommunfullmäktige beslutar att investera i laddinfrastruktur vid besöksmål.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Ragunda kommunfullmäktige beslutar att ta fram en strategi för grön turism med fokus på lokala jobb.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Ragunda kommunfullmäktige beslutar att avsätta medel för cykelvägar mellan Hammarstrand och Bispgården.</w:t>
      </w:r>
    </w:p>
    <w:p>
      <w:pPr>
        <w:spacing w:before="360"/>
      </w:pPr>
    </w:p>
    <w:p>
      <w:r>
        <w:t xml:space="preserve">Ragunda,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Ragunda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2026-07-14T01:13:11.862Z</dcterms:created>
  <dcterms:modified xsi:type="dcterms:W3CDTF">2026-07-14T01:13:11.862Z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