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Östersund kommunfullmäktige</w:t>
      </w:r>
    </w:p>
    <w:p>
      <w:pPr>
        <w:pStyle w:val="Heading1"/>
      </w:pPr>
      <w:r>
        <w:t xml:space="preserve">Minskade barngrupper i kommunala förskolor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Östersund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Kolada 2024 visar att barngrupper i Östersunds förskolor i genomsnitt har 17 barn, över rikssnittet. Detta påverkar särskilt barn i utsatta områden som Frösön och Odensala.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Östersund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max 14 barn per barngrupp i förskolan införs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25 nya förskolepedagoger anställs under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särskilda resurser tilldelas förskolor i områden med lägre socioekonomisk status.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uppföljning av barngruppsstorlekar redovisas i delårsrapporten.</w:t>
      </w:r>
    </w:p>
    <w:p>
      <w:pPr>
        <w:spacing w:before="360"/>
      </w:pPr>
    </w:p>
    <w:p>
      <w:r>
        <w:t xml:space="preserve">Östersund,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Östersund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2026-07-14T02:12:18.292Z</dcterms:created>
  <dcterms:modified xsi:type="dcterms:W3CDTF">2026-07-14T02:12:18.292Z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