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Härjedalen kommunfullmäktige</w:t>
      </w:r>
    </w:p>
    <w:p>
      <w:pPr>
        <w:pStyle w:val="Heading1"/>
      </w:pPr>
      <w:r>
        <w:t xml:space="preserve">Öppen budget och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Härjedalen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bolag Härjedalens Fastigheter och Härjedalens Energi har begränsad insyn enligt revisionsrapporten. Öppenhet stärker demokratin.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Härjedalen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budgetunderlag och bolagsrapporter ska publiceras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öppna budgetmöten med möjlighet för medborgare att ställa frågor.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tillsätta en parlamentarisk granskningsgrupp för de kommunala bolagen.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alla upphandlingar över 500 000 kronor offentligt.</w:t>
      </w:r>
    </w:p>
    <w:p>
      <w:pPr>
        <w:spacing w:before="360"/>
      </w:pPr>
    </w:p>
    <w:p>
      <w:r>
        <w:t xml:space="preserve">Härjedalen,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Härjedalen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2026-07-14T00:19:01.360Z</dcterms:created>
  <dcterms:modified xsi:type="dcterms:W3CDTF">2026-07-14T00:19:01.360Z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