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Kungsbacka kommunfullmäktige</w:t>
      </w:r>
    </w:p>
    <w:p>
      <w:pPr>
        <w:pStyle w:val="Heading1"/>
      </w:pPr>
      <w:r>
        <w:t xml:space="preserve">Fossilfri kollektivtrafik senast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Kungsbacka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Kungsbacka är en pendlingskommun med stort bilberoende. Hallandstrafiken har mål om fossilfri trafik men takten är för långsam enligt regionens klimatrapport 2025. Kommunen kan påverka genom krav i upphandlingar.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Kungsbacka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ett mål om fossilfri kollektivtrafik i Kungsbacka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nya bussupphandlingar ska kräva el- eller vätgasdrift.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cykel- och gångvägar prioriteras i budgeten för att minska bilresorna.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klimatrapport för kommunens transporter lämnas till fullmäktige.</w:t>
      </w:r>
    </w:p>
    <w:p>
      <w:pPr>
        <w:spacing w:before="360"/>
      </w:pPr>
    </w:p>
    <w:p>
      <w:r>
        <w:t xml:space="preserve">Kungsbacka,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Kungsbacka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2026-07-14T00:35:27.870Z</dcterms:created>
  <dcterms:modified xsi:type="dcterms:W3CDTF">2026-07-14T00:35:27.870Z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