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Halmstad kommunfullmäktige</w:t>
      </w:r>
    </w:p>
    <w:p>
      <w:pPr>
        <w:pStyle w:val="Heading1"/>
      </w:pPr>
      <w:r>
        <w:t xml:space="preserve">Fossilfri kollektivtrafik i Halmstad senast 2030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Vänsterpartiet i Halmstad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Halmstads kollektivtrafik drivs fortfarande till 35 procent av diesel (Hallandstrafiken 2025). Klimatplanen saknar konkreta mål för busstrafiken.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Vänsterpartiet i Halmstad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all kommunal busstrafik ska vara fossilfri senast 2030.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kommunfullmäktige avsätter 8 miljoner kronor för laddinfrastruktur vid Halmstad resecentrum.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kommunfullmäktige ger teknisk förvaltning i uppdrag att prioritera elbussar vid nästa upphandling.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kommunfullmäktige utreder utökad landsbygdstrafik med elbussar till Simlångsdalen och Getinge.</w:t>
      </w:r>
    </w:p>
    <w:p>
      <w:pPr>
        <w:spacing w:before="360"/>
      </w:pPr>
    </w:p>
    <w:p>
      <w:r>
        <w:t xml:space="preserve">Halmstad,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Vänsterpartiet i Halmstad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2026-07-14T00:09:36.663Z</dcterms:created>
  <dcterms:modified xsi:type="dcterms:W3CDTF">2026-07-14T00:09:36.663Z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