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Sandviken kommunfullmäktige</w:t>
      </w:r>
    </w:p>
    <w:p>
      <w:pPr>
        <w:pStyle w:val="Heading1"/>
      </w:pPr>
      <w:r>
        <w:t xml:space="preserve">Fasta anställningar och bättre villkor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Sandviken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Personalomsättningen i Sandvikens hemtjänst är 28 % (kommunens kvalitetsrapport 2025). Timanställningar och delade turer försämrar kontinuitet och kvalitet. Vänsterpartiet prioriterar kommunal omsorg med trygga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Sandviken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nyanställningar i hemtjänsten ska vara tillsvidareanställningar på heltid.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avskaffar delade turer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höjer grundbemanningen med 15 heltider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personalomsättning och sjukfrånvaro kvartalsvis.</w:t>
      </w:r>
    </w:p>
    <w:p>
      <w:pPr>
        <w:spacing w:before="360"/>
      </w:pPr>
    </w:p>
    <w:p>
      <w:r>
        <w:t xml:space="preserve">Sandviken,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Sandviken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2026-07-14T01:16:40.059Z</dcterms:created>
  <dcterms:modified xsi:type="dcterms:W3CDTF">2026-07-14T01:16:40.059Z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