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Ovanåker kommunfullmäktige</w:t>
      </w:r>
    </w:p>
    <w:p>
      <w:pPr>
        <w:pStyle w:val="Heading1"/>
      </w:pPr>
      <w:r>
        <w:t xml:space="preserve">Klimatanpassad upphandling av kommunala fordon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Ovanåker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Ovanåkers kommunala fordonspark består till stor del av fossildrivna bilar. En omställning krävs för att nå kommunens klimatmål och minska utsläppen.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Ovanåker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Ovanåker kommun ska kräva eldrift eller förnybara drivmedel vid all ny upphandling av fordon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inventering av befintlig fordonspark genomförs under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plan för successiv utbyte av fordon presenteras senast mars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redovisning av kommunens fordonsutsläpp lämnas till kommunfullmäktige.</w:t>
      </w:r>
    </w:p>
    <w:p>
      <w:pPr>
        <w:spacing w:before="360"/>
      </w:pPr>
    </w:p>
    <w:p>
      <w:r>
        <w:t xml:space="preserve">Ovanåker,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Ovanåker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2026-07-14T01:09:47.055Z</dcterms:created>
  <dcterms:modified xsi:type="dcterms:W3CDTF">2026-07-14T01:09:47.055Z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