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Gävle kommunfullmäktige</w:t>
      </w:r>
    </w:p>
    <w:p>
      <w:pPr>
        <w:pStyle w:val="Heading1"/>
      </w:pPr>
      <w:r>
        <w:t xml:space="preserve">Kommunal investering i gröna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Gävle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Gävle har potential för gröna jobb inom återvinning, energieffektivisering och hamnverksamhet. Kommunala investeringar kan skapa 200 nya jobb enligt en rapport från Tillväxtverket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Gävle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startar ett kommunalt bolag eller enhet för gröna investeringar.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50 miljoner kronor i investeringsbudget för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anställning av långtidsarbetslösa och unga.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följer upp antal skapade jobb och klimatnytta årligen.</w:t>
      </w:r>
    </w:p>
    <w:p>
      <w:pPr>
        <w:spacing w:before="360"/>
      </w:pPr>
    </w:p>
    <w:p>
      <w:r>
        <w:t xml:space="preserve">Gävle,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Gävle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2026-07-14T00:05:26.295Z</dcterms:created>
  <dcterms:modified xsi:type="dcterms:W3CDTF">2026-07-14T00:05:26.295Z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