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Bollnäs kommunfullmäktige</w:t>
      </w:r>
    </w:p>
    <w:p>
      <w:pPr>
        <w:pStyle w:val="Heading1"/>
      </w:pPr>
      <w:r>
        <w:t xml:space="preserve">Gratis skolfrukost för alla elever i Bollnäs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Bollnäs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elever kommer till skolan utan frukost vilket påverkar koncentration och jämlikhet. Kolada visar att andelen barn i ekonomiskt utsatta hushåll är högre än rikssnittet i Bollnäs.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Bollnäs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Bollnäs kommunfullmäktige beslutar att införa gratis skolfrukost för alla elever i grundskolan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Bollnäs kommunfullmäktige beslutar att avsätta 4 miljoner kronor årligen i budget för skolfrukost.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Bollnäs kommunfullmäktige beslutar att maten ska vara närproducerad och ekologisk i så stor utsträckning som möjligt.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Bollnäs kommunfullmäktige beslutar att utvärdera effekterna på närvaro och studieresultat efter två år.</w:t>
      </w:r>
    </w:p>
    <w:p>
      <w:pPr>
        <w:spacing w:before="360"/>
      </w:pPr>
    </w:p>
    <w:p>
      <w:r>
        <w:t xml:space="preserve">Bollnäs,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Bollnäs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2026-07-13T23:42:11.965Z</dcterms:created>
  <dcterms:modified xsi:type="dcterms:W3CDTF">2026-07-13T23:42:11.965Z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