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Smedjebacken kommunfullmäktige</w:t>
      </w:r>
    </w:p>
    <w:p>
      <w:pPr>
        <w:pStyle w:val="Heading1"/>
      </w:pPr>
      <w:r>
        <w:t xml:space="preserve">Stoppa all privatisering av äldreomsorg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Smedjebacken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Smedjebackens äldreomsorg drivs idag helt i kommunal regi. Erfarenheter från andra kommuner visar att privatisering leder till sämre villkor och högre kostnader. Välfärd ska vara demokratiskt styrd.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Smedjebacken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del av äldreomsorgen får privatiseras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alla nya insatser inom omsorg ska ske i kommunal regi.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genomföra en årlig granskning av kvalitet och arbetsvillkor i omsorgen.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fasta anställningar framför entreprenader.</w:t>
      </w:r>
    </w:p>
    <w:p>
      <w:pPr>
        <w:spacing w:before="360"/>
      </w:pPr>
    </w:p>
    <w:p>
      <w:r>
        <w:t xml:space="preserve">Smedjebacken,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Smedjebacken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2026-07-14T01:21:22.153Z</dcterms:created>
  <dcterms:modified xsi:type="dcterms:W3CDTF">2026-07-14T01:21:22.153Z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