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Säter kommunfullmäktige</w:t>
      </w:r>
    </w:p>
    <w:p>
      <w:pPr>
        <w:pStyle w:val="Heading1"/>
      </w:pPr>
      <w:r>
        <w:t xml:space="preserve">Införa fossilfri skolskjuts och kollektivtrafik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Säter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X-trafik linjer i Säter använder fortfarande dieselbussar. Kommunens klimatstrategi 2023 saknar konkreta mål för skolskjuts. Vänsterpartiet vill minska utsläpp och skapa gröna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Säter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skolskjuts ska vara fossilfri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avtal med X-trafik ska innehålla krav på el- eller biogasbussar.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utredning om utökad landsbygdstrafik genomförs 2026.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kommunens fordonspark ska vara fossilfri till 2027.</w:t>
      </w:r>
    </w:p>
    <w:p>
      <w:pPr>
        <w:spacing w:before="360"/>
      </w:pPr>
    </w:p>
    <w:p>
      <w:r>
        <w:t xml:space="preserve">Säter,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Säter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2026-07-14T01:32:45.454Z</dcterms:created>
  <dcterms:modified xsi:type="dcterms:W3CDTF">2026-07-14T01:32:45.454Z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