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Hedemora kommunfullmäktige</w:t>
      </w:r>
    </w:p>
    <w:p>
      <w:pPr>
        <w:pStyle w:val="Heading1"/>
      </w:pPr>
      <w:r>
        <w:t xml:space="preserve">Ungdomsgårdar i alla kommundelar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Hedemora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trygghetsmätning 2024 visar oro för ungdomskriminalitet i Hedemora. Få fritidsaktiviteter på landsbygden ökar risken för utanförskap bland unga.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Hedemora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eller återöppna ungdomsgårdar i minst fyra kommundelar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tillför 3 miljoner kronor årligen för verksamhet och personal.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säkerställer att verksamheten är kostnadsfri och öppen kvällar och helger.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utvärderar effekten på trygghet och delaktighet.</w:t>
      </w:r>
    </w:p>
    <w:p>
      <w:pPr>
        <w:spacing w:before="360"/>
      </w:pPr>
    </w:p>
    <w:p>
      <w:r>
        <w:t xml:space="preserve">Hedemora,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Hedemora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2026-07-14T00:12:51.766Z</dcterms:created>
  <dcterms:modified xsi:type="dcterms:W3CDTF">2026-07-14T00:12:51.766Z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