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Gagnef kommunfullmäktige</w:t>
      </w:r>
    </w:p>
    <w:p>
      <w:pPr>
        <w:pStyle w:val="Heading1"/>
      </w:pPr>
      <w:r>
        <w:t xml:space="preserve">Gratis och närproducerad skolmat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Gagnef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Skolmaten är idag inte alltid närproducerad. En satsning på lokala råvaror kan både höja kvaliteten och stödja lokala lantbrukare.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Gagnef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skolmat ska vara gratis för elever i grundskolan.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minst 40 procent av skolmatens råvaror ska vara närproducerade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ett krav på ekologiska råvaror i kommunala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andelen närproducerad mat årligen.</w:t>
      </w:r>
    </w:p>
    <w:p>
      <w:pPr>
        <w:spacing w:before="360"/>
      </w:pPr>
    </w:p>
    <w:p>
      <w:r>
        <w:t xml:space="preserve">Gagnef,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Gagnef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2026-07-13T23:59:50.076Z</dcterms:created>
  <dcterms:modified xsi:type="dcterms:W3CDTF">2026-07-13T23:59:50.076Z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