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Borlänge kommunfullmäktige</w:t>
      </w:r>
    </w:p>
    <w:p>
      <w:pPr>
        <w:pStyle w:val="Heading1"/>
      </w:pPr>
      <w:r>
        <w:t xml:space="preserve">Fler öppna ungdomsgårdar i Borlänge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Borlänge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trygghetsmätning 2024 visar oro bland unga i Domnarvet och Kvarnsveden. Få fritidsverksamheter finns på kvällar och helger.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Borlänge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återöppna ungdomsgårdar i Domnarvet och Kvarnsveden med minst 20 timmar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2,8 miljoner kronor årligen för verksamheten.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kultur- och fritidsnämnden i uppdrag att anställa fritidsledare med ungdomskompetens.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säkerställer att verksamheten är kostnadsfri och öppen för alla 13–19 åringar.</w:t>
      </w:r>
    </w:p>
    <w:p>
      <w:pPr>
        <w:spacing w:before="360"/>
      </w:pPr>
    </w:p>
    <w:p>
      <w:r>
        <w:t xml:space="preserve">Borlänge,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Borlänge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2026-07-13T23:43:15.709Z</dcterms:created>
  <dcterms:modified xsi:type="dcterms:W3CDTF">2026-07-13T23:43:15.709Z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