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Älvdalen kommunfullmäktige</w:t>
      </w:r>
    </w:p>
    <w:p>
      <w:pPr>
        <w:pStyle w:val="Heading1"/>
      </w:pPr>
      <w:r>
        <w:t xml:space="preserve">Kommunala investeringar för gröna jobb i skog och turism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Älvdalen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Skogsbruk och turism är basnäringar i Älvdalen. Klimatomställningen kan skapa nya jobb om kommunen investerar i utbildning och gröna projekt. Arbetslösheten bland unga är högre än länsgenomsnittet.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Älvdalen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Älvdalens kommunfullmäktige beslutar att starta ett kommunalt traineeprogram för gröna jobb inom skog och besöksnäring.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Älvdalens kommunfullmäktige beslutar att samarbeta med Skogsstyrelsen om hållbar skogsutbildning.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Älvdalens kommunfullmäktige beslutar att prioritera lokala företag vid upphandling av kommunala tjänster.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Älvdalens kommunfullmäktige beslutar att avsätta 3 miljoner kronor till gröna investeringsprojekt 2027.</w:t>
      </w:r>
    </w:p>
    <w:p>
      <w:pPr>
        <w:spacing w:before="360"/>
      </w:pPr>
    </w:p>
    <w:p>
      <w:r>
        <w:t xml:space="preserve">Älvdalen,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Älvdalen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2026-07-14T02:07:21.981Z</dcterms:created>
  <dcterms:modified xsi:type="dcterms:W3CDTF">2026-07-14T02:07:21.981Z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