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Älvdalen kommunfullmäktige</w:t>
      </w:r>
    </w:p>
    <w:p>
      <w:pPr>
        <w:pStyle w:val="Heading1"/>
      </w:pPr>
      <w:r>
        <w:t xml:space="preserve">Gratis skolmat och frukt i alla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Älvdalen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i Älvdalen har låga inkomster och skolmaten är en viktig jämlikhetsfråga. Flera kommuner i Dalarna har infört gratis frukt. Detta stödjer både hälsa och koncentration enligt Skolverkets rekommendationer.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Älvdalen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Älvdalens kommunfullmäktige beslutar att införa gratis frukt i alla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Älvdalens kommunfullmäktige beslutar att garantera att all skolmat tillagas i kommunal regi.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Älvdalens kommunfullmäktige beslutar att höja anslaget för skolmat med 1,5 miljoner kronor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Älvdalens kommunfullmäktige beslutar att erbjuda vegetariska alternativ varje dag.</w:t>
      </w:r>
    </w:p>
    <w:p>
      <w:pPr>
        <w:spacing w:before="360"/>
      </w:pPr>
    </w:p>
    <w:p>
      <w:r>
        <w:t xml:space="preserve">Älvdalen,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Älvdalen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2026-07-14T02:07:21.953Z</dcterms:created>
  <dcterms:modified xsi:type="dcterms:W3CDTF">2026-07-14T02:07:21.953Z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