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Karlskrona kommunfullmäktige</w:t>
      </w:r>
    </w:p>
    <w:p>
      <w:pPr>
        <w:pStyle w:val="Heading1"/>
      </w:pPr>
      <w:r>
        <w:t xml:space="preserve">Kommunala investeringar för gröna jobb och mot lönedumpning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Karlskrona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Karlskrona har hög arbetslöshet bland unga och utrikesfödda. Kommunens upphandlingar saknar tillräckliga krav på kollektivavtal.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Karlskrona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genomför investeringar i grön omställning som skapar minst 100 nya kommunala jobb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upphandlingar ska kräva kollektivavtal och svenska löner.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praktik- och traineeplatser riktas särskilt till unga och långtidsarbetslösa.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kommunens arbetsmarknadsinsatser redovisas för fullmäktige.</w:t>
      </w:r>
    </w:p>
    <w:p>
      <w:pPr>
        <w:spacing w:before="360"/>
      </w:pPr>
    </w:p>
    <w:p>
      <w:r>
        <w:t xml:space="preserve">Karlskrona,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Karlskrona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2026-07-14T00:27:47.711Z</dcterms:created>
  <dcterms:modified xsi:type="dcterms:W3CDTF">2026-07-14T00:27:47.711Z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