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Karlskrona kommunfullmäktige</w:t>
      </w:r>
    </w:p>
    <w:p>
      <w:pPr>
        <w:pStyle w:val="Heading1"/>
      </w:pPr>
      <w:r>
        <w:t xml:space="preserve">Ökad tillgänglighet i kommunala lokaler och verksamheter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kommunens egen tillgänglighetsinventering 2023 är flera kommunala byggnader och digitala tjänster otillgängliga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handlingsplan för universell utformning antas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nya kommunala lokaler ska uppfylla krav på full tillgänglighet.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tjänster ska vara tillgängliga enligt WCAG 2.1 AA-standard.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tillgänglighetsarbetet redovisas för fullmäktige.</w:t>
      </w:r>
    </w:p>
    <w:p>
      <w:pPr>
        <w:spacing w:before="360"/>
      </w:pPr>
    </w:p>
    <w:p>
      <w:r>
        <w:t xml:space="preserve">Karlskrona,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2026-07-14T00:27:47.689Z</dcterms:created>
  <dcterms:modified xsi:type="dcterms:W3CDTF">2026-07-14T00:27:47.689Z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