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Karlskrona kommunfullmäktige</w:t>
      </w:r>
    </w:p>
    <w:p>
      <w:pPr>
        <w:pStyle w:val="Heading1"/>
      </w:pPr>
      <w:r>
        <w:t xml:space="preserve">Fossilfri kollektivtrafik till 2030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Karlskrona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Blekingetrafiken har fortfarande dieselbussar på flera linjer utanför centrala Karlskrona. Kommunens klimatstrategi saknar tydlig tidsplan för fossilfrihet.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Karlskrona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all kollektivtrafik i kommunen ska vara fossilfri senast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linjetrafiken till Lyckeby, Rödeby och Jämjö utökas med minst 20 procent.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inför elbussar på minst tre nya linjer under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klimatrapport för kollektivtrafiken lämnas till fullmäktige.</w:t>
      </w:r>
    </w:p>
    <w:p>
      <w:pPr>
        <w:spacing w:before="360"/>
      </w:pPr>
    </w:p>
    <w:p>
      <w:r>
        <w:t xml:space="preserve">Karlskrona,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Karlskrona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2026-07-14T00:27:47.666Z</dcterms:created>
  <dcterms:modified xsi:type="dcterms:W3CDTF">2026-07-14T00:27:47.666Z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